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:rsidR="009C4F41" w:rsidRPr="00691E5C" w:rsidRDefault="00CC46C4" w:rsidP="009C4F41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9C4F41" w:rsidRPr="00691E5C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2021 წლის </w:t>
      </w:r>
      <w:r w:rsidR="009C4F41">
        <w:rPr>
          <w:rFonts w:ascii="Sylfaen" w:hAnsi="Sylfaen" w:cs="Sylfaen"/>
          <w:szCs w:val="21"/>
          <w:shd w:val="clear" w:color="auto" w:fill="FFFFFF"/>
        </w:rPr>
        <w:t>31</w:t>
      </w:r>
      <w:r w:rsidR="009C4F41"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C4F41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შეადგენს </w:t>
      </w:r>
      <w:r w:rsidR="00DF4FFC">
        <w:rPr>
          <w:rFonts w:ascii="Sylfaen" w:hAnsi="Sylfaen" w:cs="Sylfaen"/>
          <w:szCs w:val="21"/>
          <w:shd w:val="clear" w:color="auto" w:fill="FFFFFF"/>
        </w:rPr>
        <w:t>30 207.3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:rsidR="009C4F41" w:rsidRDefault="009C4F41" w:rsidP="009C4F41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>
        <w:rPr>
          <w:rFonts w:ascii="Sylfaen" w:hAnsi="Sylfaen"/>
          <w:szCs w:val="21"/>
          <w:shd w:val="clear" w:color="auto" w:fill="FFFFFF"/>
          <w:lang w:val="ka-GE"/>
        </w:rPr>
        <w:t>29 765.5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</w:t>
      </w:r>
      <w:r>
        <w:rPr>
          <w:rFonts w:ascii="Sylfaen" w:hAnsi="Sylfaen"/>
          <w:szCs w:val="21"/>
          <w:shd w:val="clear" w:color="auto" w:fill="FFFFFF"/>
          <w:lang w:val="ka-GE"/>
        </w:rPr>
        <w:t xml:space="preserve"> 46.4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</w:t>
      </w:r>
      <w:r w:rsidRPr="00DF4FFC">
        <w:rPr>
          <w:rFonts w:ascii="Sylfaen" w:hAnsi="Sylfaen"/>
          <w:szCs w:val="21"/>
          <w:shd w:val="clear" w:color="auto" w:fill="FFFFFF"/>
          <w:lang w:val="ka-GE"/>
        </w:rPr>
        <w:t>395.4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9C4F41" w:rsidRPr="00691E5C" w:rsidRDefault="009C4F41" w:rsidP="009C4F41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9C4F41" w:rsidRPr="009C4F41" w:rsidRDefault="009C4F41" w:rsidP="009C4F41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9C4F41" w:rsidRPr="00691E5C" w:rsidRDefault="009C4F41" w:rsidP="009C4F41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szCs w:val="21"/>
          <w:shd w:val="clear" w:color="auto" w:fill="FFFFFF"/>
          <w:lang w:val="ka-GE"/>
        </w:rPr>
        <w:t>მთავრობის საგარეო ვალის ნაშთი, 23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966.7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80</w:t>
      </w:r>
      <w:r w:rsidRPr="00691E5C">
        <w:rPr>
          <w:rFonts w:ascii="Sylfaen" w:hAnsi="Sylfaen"/>
          <w:szCs w:val="21"/>
          <w:shd w:val="clear" w:color="auto" w:fill="FFFFFF"/>
        </w:rPr>
        <w:t>%-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691E5C">
        <w:rPr>
          <w:rFonts w:ascii="Sylfaen" w:hAnsi="Sylfaen"/>
          <w:szCs w:val="21"/>
          <w:shd w:val="clear" w:color="auto" w:fill="FFFFFF"/>
        </w:rPr>
        <w:t xml:space="preserve">.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691E5C">
        <w:rPr>
          <w:rFonts w:ascii="Sylfaen" w:hAnsi="Sylfaen"/>
          <w:szCs w:val="21"/>
          <w:shd w:val="clear" w:color="auto" w:fill="FFFFFF"/>
        </w:rPr>
        <w:t xml:space="preserve">.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20.</w:t>
      </w:r>
      <w:r>
        <w:rPr>
          <w:rFonts w:ascii="Sylfaen" w:hAnsi="Sylfaen"/>
          <w:szCs w:val="21"/>
          <w:shd w:val="clear" w:color="auto" w:fill="FFFFFF"/>
          <w:lang w:val="ka-GE"/>
        </w:rPr>
        <w:t>7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691E5C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0903AB">
        <w:rPr>
          <w:rFonts w:ascii="Sylfaen" w:hAnsi="Sylfaen"/>
          <w:szCs w:val="21"/>
          <w:shd w:val="clear" w:color="auto" w:fill="FFFFFF"/>
          <w:lang w:val="ka-GE"/>
        </w:rPr>
        <w:t>9.</w:t>
      </w:r>
      <w:r w:rsidR="00990627">
        <w:rPr>
          <w:rFonts w:ascii="Sylfaen" w:hAnsi="Sylfaen"/>
          <w:szCs w:val="21"/>
          <w:shd w:val="clear" w:color="auto" w:fill="FFFFFF"/>
          <w:lang w:val="ka-GE"/>
        </w:rPr>
        <w:t>1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საგარეო ვალის საშუალო შეწონილი საპროცენტო განაკვეთი შეადგენს 0.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95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086670" w:rsidRPr="00086670" w:rsidRDefault="00086670" w:rsidP="00D62E87">
      <w:pPr>
        <w:spacing w:line="240" w:lineRule="auto"/>
        <w:ind w:firstLine="720"/>
        <w:jc w:val="both"/>
        <w:rPr>
          <w:rFonts w:ascii="Sylfaen" w:hAnsi="Sylfaen" w:cs="Sylfaen"/>
          <w:sz w:val="16"/>
          <w:szCs w:val="16"/>
          <w:shd w:val="clear" w:color="auto" w:fill="FFFFFF"/>
          <w:lang w:val="ka-GE"/>
        </w:rPr>
      </w:pPr>
    </w:p>
    <w:p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627" w:rsidRPr="00A33B48" w:rsidRDefault="009906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990627" w:rsidRPr="00A411AE" w:rsidRDefault="009906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0.95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990627" w:rsidRPr="00A411AE" w:rsidRDefault="009906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7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990627" w:rsidRPr="00DE4001" w:rsidRDefault="009906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903AB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9.1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990627" w:rsidRPr="00A33B48" w:rsidRDefault="009906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990627" w:rsidRPr="00A411AE" w:rsidRDefault="009906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0.95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990627" w:rsidRPr="00A411AE" w:rsidRDefault="009906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7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990627" w:rsidRPr="00DE4001" w:rsidRDefault="009906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0903AB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9.1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344AAF">
        <w:rPr>
          <w:rFonts w:ascii="Sylfaen" w:hAnsi="Sylfaen"/>
          <w:b/>
          <w:szCs w:val="18"/>
          <w:shd w:val="clear" w:color="auto" w:fill="FFFFFF"/>
        </w:rPr>
        <w:t>1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9C4F4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დეკემბრის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:rsidR="009C4F41" w:rsidRPr="00691E5C" w:rsidRDefault="009C4F41" w:rsidP="009C4F41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Pr="00691E5C">
        <w:rPr>
          <w:rFonts w:ascii="Sylfaen" w:hAnsi="Sylfaen" w:cs="Sylfaen"/>
          <w:szCs w:val="21"/>
          <w:shd w:val="clear" w:color="auto" w:fill="FFFFFF"/>
        </w:rPr>
        <w:t>2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1 წლის </w:t>
      </w:r>
      <w:r>
        <w:rPr>
          <w:rFonts w:ascii="Sylfaen" w:hAnsi="Sylfaen" w:cs="Sylfaen"/>
          <w:szCs w:val="21"/>
          <w:shd w:val="clear" w:color="auto" w:fill="FFFFFF"/>
        </w:rPr>
        <w:t xml:space="preserve">31 </w:t>
      </w:r>
      <w:proofErr w:type="spellStart"/>
      <w:r>
        <w:rPr>
          <w:rFonts w:ascii="Sylfaen" w:hAnsi="Sylfaen" w:cs="Sylfaen"/>
          <w:szCs w:val="21"/>
          <w:shd w:val="clear" w:color="auto" w:fill="FFFFFF"/>
        </w:rPr>
        <w:t>დეკემბრის</w:t>
      </w:r>
      <w:proofErr w:type="spellEnd"/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5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Pr="00691E5C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086670" w:rsidRPr="00140A25" w:rsidRDefault="00086670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7509F" w:rsidRPr="00140A25" w:rsidRDefault="00D37A24" w:rsidP="006A4593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E6">
        <w:rPr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1143000</wp:posOffset>
            </wp:positionH>
            <wp:positionV relativeFrom="paragraph">
              <wp:posOffset>226695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813A2C">
        <w:rPr>
          <w:rFonts w:ascii="Sylfaen" w:hAnsi="Sylfaen"/>
          <w:b/>
        </w:rPr>
        <w:t>21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9C4F41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9C4F41">
        <w:rPr>
          <w:rFonts w:ascii="Sylfaen" w:hAnsi="Sylfaen" w:cs="Sylfaen"/>
          <w:b/>
          <w:szCs w:val="21"/>
          <w:shd w:val="clear" w:color="auto" w:fill="FFFFFF"/>
          <w:lang w:val="ka-GE"/>
        </w:rPr>
        <w:t>დეკემბრის</w:t>
      </w:r>
      <w:r w:rsidR="00EF6AB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:rsidR="00D16B05" w:rsidRDefault="00D16B0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775"/>
        <w:gridCol w:w="1279"/>
        <w:gridCol w:w="1231"/>
        <w:gridCol w:w="1351"/>
        <w:gridCol w:w="1176"/>
        <w:gridCol w:w="981"/>
      </w:tblGrid>
      <w:tr w:rsidR="00D16B05" w:rsidRPr="00980727" w:rsidTr="00554F62">
        <w:trPr>
          <w:trHeight w:hRule="exact" w:val="701"/>
          <w:tblHeader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980727">
              <w:rPr>
                <w:rFonts w:cstheme="minorHAnsi"/>
                <w:b/>
                <w:bCs/>
                <w:sz w:val="16"/>
                <w:szCs w:val="14"/>
              </w:rPr>
              <w:t>კრედიტორი</w:t>
            </w:r>
            <w:proofErr w:type="spellEnd"/>
            <w:r w:rsidRPr="00980727">
              <w:rPr>
                <w:rFonts w:cstheme="minorHAnsi"/>
                <w:b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აშშ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დოლარი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6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ლარი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980727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980727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980727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2"/>
                <w:szCs w:val="12"/>
              </w:rPr>
              <w:t>მოცემული</w:t>
            </w:r>
            <w:proofErr w:type="spellEnd"/>
            <w:r w:rsidRPr="00980727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  <w:r w:rsidRPr="00980727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shd w:val="clear" w:color="000000" w:fill="FFFFFF"/>
            <w:vAlign w:val="bottom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980727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D16B05" w:rsidRPr="00980727" w:rsidTr="00554F62">
        <w:trPr>
          <w:trHeight w:hRule="exact" w:val="294"/>
          <w:jc w:val="center"/>
        </w:trPr>
        <w:tc>
          <w:tcPr>
            <w:tcW w:w="2087" w:type="pct"/>
            <w:gridSpan w:val="2"/>
            <w:shd w:val="clear" w:color="000000" w:fill="FFFFFF"/>
            <w:vAlign w:val="center"/>
            <w:hideMark/>
          </w:tcPr>
          <w:p w:rsidR="00D16B05" w:rsidRPr="005379C8" w:rsidRDefault="00D16B05">
            <w:pPr>
              <w:rPr>
                <w:rFonts w:cstheme="minorHAnsi"/>
                <w:b/>
                <w:bCs/>
                <w:i/>
                <w:iCs/>
                <w:sz w:val="18"/>
                <w:szCs w:val="16"/>
              </w:rPr>
            </w:pPr>
            <w:proofErr w:type="spellStart"/>
            <w:r w:rsidRPr="005379C8">
              <w:rPr>
                <w:rFonts w:cstheme="minorHAnsi"/>
                <w:b/>
                <w:bCs/>
                <w:i/>
                <w:iCs/>
                <w:sz w:val="18"/>
                <w:szCs w:val="16"/>
              </w:rPr>
              <w:t>სახელმწიფო</w:t>
            </w:r>
            <w:proofErr w:type="spellEnd"/>
            <w:r w:rsidRPr="005379C8">
              <w:rPr>
                <w:rFonts w:cstheme="minorHAnsi"/>
                <w:b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5379C8">
              <w:rPr>
                <w:rFonts w:cstheme="minorHAnsi"/>
                <w:b/>
                <w:bCs/>
                <w:i/>
                <w:iCs/>
                <w:sz w:val="18"/>
                <w:szCs w:val="16"/>
              </w:rPr>
              <w:t>საგარეო</w:t>
            </w:r>
            <w:proofErr w:type="spellEnd"/>
            <w:r w:rsidRPr="005379C8">
              <w:rPr>
                <w:rFonts w:cstheme="minorHAnsi"/>
                <w:b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5379C8">
              <w:rPr>
                <w:rFonts w:cstheme="minorHAnsi"/>
                <w:b/>
                <w:bCs/>
                <w:i/>
                <w:iCs/>
                <w:sz w:val="18"/>
                <w:szCs w:val="16"/>
              </w:rPr>
              <w:t>ვალი</w:t>
            </w:r>
            <w:proofErr w:type="spell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D16B05" w:rsidRPr="005379C8" w:rsidRDefault="00D16B05" w:rsidP="005D5EFD">
            <w:pPr>
              <w:jc w:val="right"/>
              <w:rPr>
                <w:rFonts w:cstheme="minorHAnsi"/>
                <w:b/>
                <w:bCs/>
                <w:i/>
                <w:iCs/>
                <w:sz w:val="18"/>
                <w:szCs w:val="16"/>
              </w:rPr>
            </w:pPr>
            <w:r w:rsidRPr="005379C8">
              <w:rPr>
                <w:rFonts w:cstheme="minorHAnsi"/>
                <w:b/>
                <w:bCs/>
                <w:i/>
                <w:iCs/>
                <w:sz w:val="18"/>
                <w:szCs w:val="16"/>
              </w:rPr>
              <w:t>7,737,180</w:t>
            </w:r>
          </w:p>
        </w:tc>
        <w:tc>
          <w:tcPr>
            <w:tcW w:w="596" w:type="pct"/>
            <w:shd w:val="clear" w:color="000000" w:fill="FFFFFF"/>
            <w:vAlign w:val="center"/>
            <w:hideMark/>
          </w:tcPr>
          <w:p w:rsidR="00D16B05" w:rsidRPr="005379C8" w:rsidRDefault="00D16B05" w:rsidP="005D5EFD">
            <w:pPr>
              <w:jc w:val="right"/>
              <w:rPr>
                <w:rFonts w:cstheme="minorHAnsi"/>
                <w:b/>
                <w:bCs/>
                <w:i/>
                <w:iCs/>
                <w:sz w:val="18"/>
                <w:szCs w:val="16"/>
              </w:rPr>
            </w:pPr>
            <w:r w:rsidRPr="005379C8">
              <w:rPr>
                <w:rFonts w:cstheme="minorHAnsi"/>
                <w:b/>
                <w:bCs/>
                <w:i/>
                <w:iCs/>
                <w:sz w:val="18"/>
                <w:szCs w:val="16"/>
              </w:rPr>
              <w:t>23,966,690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D16B05" w:rsidRPr="00980727" w:rsidTr="00554F62">
        <w:trPr>
          <w:trHeight w:hRule="exact" w:val="251"/>
          <w:jc w:val="center"/>
        </w:trPr>
        <w:tc>
          <w:tcPr>
            <w:tcW w:w="2087" w:type="pct"/>
            <w:gridSpan w:val="2"/>
            <w:shd w:val="clear" w:color="000000" w:fill="BFBFB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98072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1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5,577,830</w:t>
            </w:r>
          </w:p>
        </w:tc>
        <w:tc>
          <w:tcPr>
            <w:tcW w:w="596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17,277,887</w:t>
            </w:r>
          </w:p>
        </w:tc>
        <w:tc>
          <w:tcPr>
            <w:tcW w:w="654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ასოციაცია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(WB - IDA)</w:t>
            </w:r>
          </w:p>
        </w:tc>
        <w:tc>
          <w:tcPr>
            <w:tcW w:w="375" w:type="pct"/>
            <w:vMerge w:val="restart"/>
            <w:shd w:val="clear" w:color="000000" w:fill="FFFFFF"/>
            <w:noWrap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588,339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1,822,438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0.057%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234,123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725,219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0.061%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8,475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26,252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2.15%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ასოციაცია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(WB - IBRD)</w:t>
            </w: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101,808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315,360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1.39%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0.018%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1,628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5,043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1.89%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5,219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16,167</w:t>
            </w:r>
          </w:p>
        </w:tc>
        <w:tc>
          <w:tcPr>
            <w:tcW w:w="654" w:type="pct"/>
            <w:vMerge w:val="restar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119,621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370,537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0.50%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96,447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298,753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0.72%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154,623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478,961</w:t>
            </w:r>
          </w:p>
        </w:tc>
        <w:tc>
          <w:tcPr>
            <w:tcW w:w="654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0.48%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40,996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126,989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0.68%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183,799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569,335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0.88%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0.021%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58,901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182,453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28,818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89,268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0.96%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140,821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436,206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1.03%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0.019%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119,375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369,777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1.18%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0.018%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126,795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392,761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1.19%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0.020%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30,175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93,469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1.33%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სოფლის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მეურნეობის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ფონდი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(IFAD)</w:t>
            </w: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17,117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53,023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10,414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32,258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D16B05" w:rsidRPr="00980727" w:rsidTr="00554F62">
        <w:trPr>
          <w:trHeight w:hRule="exact" w:val="224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3,440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10,656.44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(SDR Libor + IBRD VS)/2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0.71%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7,282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22,558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1.03%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53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სავალუტო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ფონდი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(IMF EFF,MOF)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205,740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637,301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SDR Rate of Charge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1.09%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0.029%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ევროგაერთიანება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r w:rsidRPr="00980727">
              <w:rPr>
                <w:rFonts w:cstheme="minorHAns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107,464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332,880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0.13%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11,312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35,040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0.52%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14,706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45,552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1.16%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16,968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52,560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1.25%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D16B05" w:rsidRPr="00980727" w:rsidTr="00554F62">
        <w:trPr>
          <w:trHeight w:hRule="exact" w:val="494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ევროპის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რეკონსტრუქციის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და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(EBRD)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236,765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733,403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+ 1%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0.028%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auto" w:fill="auto"/>
            <w:vAlign w:val="center"/>
            <w:hideMark/>
          </w:tcPr>
          <w:p w:rsidR="00D16B05" w:rsidRPr="00980727" w:rsidRDefault="00D16B05" w:rsidP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აზიის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(ADB)</w:t>
            </w: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57,738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178,849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293,273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908,442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1.50%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0.057%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28,559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88,465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1.60%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207,086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641,471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0.054%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6C1AE3" w:rsidRPr="00980727" w:rsidRDefault="006C1AE3" w:rsidP="006C1A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 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104,412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323,426</w:t>
            </w:r>
          </w:p>
        </w:tc>
        <w:tc>
          <w:tcPr>
            <w:tcW w:w="654" w:type="pct"/>
            <w:vMerge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shd w:val="clear" w:color="000000" w:fill="FFFFFF"/>
            <w:vAlign w:val="center"/>
            <w:hideMark/>
          </w:tcPr>
          <w:p w:rsidR="006C1AE3" w:rsidRPr="00980727" w:rsidRDefault="006C1AE3" w:rsidP="0099062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80,270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248,644</w:t>
            </w:r>
          </w:p>
        </w:tc>
        <w:tc>
          <w:tcPr>
            <w:tcW w:w="654" w:type="pct"/>
            <w:vMerge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0.32%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shd w:val="clear" w:color="000000" w:fill="FFFFFF"/>
            <w:vAlign w:val="center"/>
            <w:hideMark/>
          </w:tcPr>
          <w:p w:rsidR="006C1AE3" w:rsidRPr="00980727" w:rsidRDefault="006C1A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193,235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598,564</w:t>
            </w:r>
          </w:p>
        </w:tc>
        <w:tc>
          <w:tcPr>
            <w:tcW w:w="654" w:type="pct"/>
            <w:vMerge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0.38%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18,447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57,143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149,153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462,016</w:t>
            </w:r>
          </w:p>
        </w:tc>
        <w:tc>
          <w:tcPr>
            <w:tcW w:w="654" w:type="pct"/>
            <w:vMerge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0.07%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265,664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822,921</w:t>
            </w:r>
          </w:p>
        </w:tc>
        <w:tc>
          <w:tcPr>
            <w:tcW w:w="654" w:type="pct"/>
            <w:vMerge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0.19%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39,905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123,609</w:t>
            </w:r>
          </w:p>
        </w:tc>
        <w:tc>
          <w:tcPr>
            <w:tcW w:w="654" w:type="pct"/>
            <w:vMerge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6C1AE3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6C1AE3" w:rsidRPr="00980727" w:rsidRDefault="006C1A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47,981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6C1AE3" w:rsidRPr="00980727" w:rsidRDefault="006C1AE3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148,626</w:t>
            </w:r>
          </w:p>
        </w:tc>
        <w:tc>
          <w:tcPr>
            <w:tcW w:w="654" w:type="pct"/>
            <w:vMerge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0.63%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6C1AE3" w:rsidRPr="00980727" w:rsidRDefault="006C1AE3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33,333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103,253</w:t>
            </w:r>
          </w:p>
        </w:tc>
        <w:tc>
          <w:tcPr>
            <w:tcW w:w="654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Libor+FS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0.50%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65,540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203,015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0.56%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41,667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129,067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0.66%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10,667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33,041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66,346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205,512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0.77%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88,992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275,662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19,785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61,285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0.90%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75,620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234,241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auto" w:fill="auto"/>
            <w:vAlign w:val="center"/>
            <w:hideMark/>
          </w:tcPr>
          <w:p w:rsidR="00D16B05" w:rsidRPr="00980727" w:rsidRDefault="00D16B05" w:rsidP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აზიის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ინფრასტრუქტურის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(AIIB)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48,653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150,708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1.59%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 w:rsidP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50,904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157,680</w:t>
            </w:r>
          </w:p>
        </w:tc>
        <w:tc>
          <w:tcPr>
            <w:tcW w:w="654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 w:rsidP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95,560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296,006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0.46%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auto" w:fill="auto"/>
            <w:vAlign w:val="center"/>
            <w:hideMark/>
          </w:tcPr>
          <w:p w:rsidR="00D16B05" w:rsidRPr="00980727" w:rsidRDefault="00D16B05" w:rsidP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ევროსაბჭოს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(CEB)</w:t>
            </w: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4,288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13,283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0.49%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1,020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3,159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ევროპის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საინვესტიციო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(EIB)</w:t>
            </w: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96,152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297,840</w:t>
            </w:r>
          </w:p>
        </w:tc>
        <w:tc>
          <w:tcPr>
            <w:tcW w:w="654" w:type="pct"/>
            <w:vMerge w:val="restar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0.33%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32,239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99,864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0.49%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73,528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227,760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0.57%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4,143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12,833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0.73%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32,071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99,344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57,691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178,704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11,312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35,040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23,646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73,245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1.69%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22,624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70,080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1.94%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347,843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1,077,480</w:t>
            </w:r>
          </w:p>
        </w:tc>
        <w:tc>
          <w:tcPr>
            <w:tcW w:w="654" w:type="pct"/>
            <w:vMerge w:val="restar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10,926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33,846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56,286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174,351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0.24%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9,714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30,091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0.28%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34,494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106,849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0.29%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3,394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10,512</w:t>
            </w:r>
          </w:p>
        </w:tc>
        <w:tc>
          <w:tcPr>
            <w:tcW w:w="654" w:type="pct"/>
            <w:vMerge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0.34%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629"/>
          <w:jc w:val="center"/>
        </w:trPr>
        <w:tc>
          <w:tcPr>
            <w:tcW w:w="1712" w:type="pct"/>
            <w:shd w:val="clear" w:color="auto" w:fill="auto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სკანდინავიური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გარემოსდაცვის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საფინანსო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კორპორაცია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(NEFCO)  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2,498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7,739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296"/>
          <w:jc w:val="center"/>
        </w:trPr>
        <w:tc>
          <w:tcPr>
            <w:tcW w:w="1712" w:type="pct"/>
            <w:shd w:val="clear" w:color="000000" w:fill="BFBFB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lastRenderedPageBreak/>
              <w:t>ორმხრივი</w:t>
            </w:r>
            <w:proofErr w:type="spellEnd"/>
            <w:r w:rsidRPr="0098072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375" w:type="pct"/>
            <w:shd w:val="clear" w:color="000000" w:fill="BFBFB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1,657,919</w:t>
            </w:r>
          </w:p>
        </w:tc>
        <w:tc>
          <w:tcPr>
            <w:tcW w:w="596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5,135,569</w:t>
            </w:r>
          </w:p>
        </w:tc>
        <w:tc>
          <w:tcPr>
            <w:tcW w:w="654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16B05" w:rsidRPr="00980727" w:rsidTr="00554F62">
        <w:trPr>
          <w:trHeight w:hRule="exact" w:val="278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16,378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50,732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278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4,187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12,968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654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8,152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25,252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3.13%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3,054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9,459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28,616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88,642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0.015%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3,693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11,440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278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4,554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14,106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CNY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471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1,458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გერმანია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KfW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9,139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28,310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+ 0.3%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123,301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381,936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+ 0.72%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101,808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315,360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113,494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351,559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203,616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630,720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0.88%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0.023%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29,090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90,109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45,090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139,669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18,813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58,274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2.20%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9,841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30,485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16,968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52,560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5.70%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0.013%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6,172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19,118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6.68%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JPY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24,304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75,283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122,955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380,867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919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2,846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1.30%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24,474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75,809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1.40%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14,669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45,438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2.30%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KWD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5,130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15,891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6,144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19,030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233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5,498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17,029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3,057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9,471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2.25%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4,594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14,231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375" w:type="pct"/>
            <w:vMerge w:val="restar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14,836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45,955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0.17%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214,928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665,760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0.42%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169,680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525,600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0.81%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0.018%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19,620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60,775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1.10%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7,721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23,918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1.27%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10,941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33,891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1.41%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243,208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753,360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+ 0.6%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D16B05" w:rsidRPr="00980727" w:rsidTr="00554F62">
        <w:trPr>
          <w:trHeight w:hRule="exact" w:val="187"/>
          <w:jc w:val="center"/>
        </w:trPr>
        <w:tc>
          <w:tcPr>
            <w:tcW w:w="1712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18,499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57,303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+ 1.05%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1.05%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BFBFB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t>ფასიანი</w:t>
            </w:r>
            <w:proofErr w:type="spellEnd"/>
            <w:r w:rsidRPr="0098072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375" w:type="pct"/>
            <w:shd w:val="clear" w:color="000000" w:fill="BFBFB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96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1,548,800</w:t>
            </w:r>
          </w:p>
        </w:tc>
        <w:tc>
          <w:tcPr>
            <w:tcW w:w="654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ევროობლიგაცია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2021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500,000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1,548,800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2.750%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0.178%</w:t>
            </w: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BFBFB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 w:rsidRPr="0098072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0727">
              <w:rPr>
                <w:rFonts w:cstheme="minorHAnsi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375" w:type="pct"/>
            <w:shd w:val="clear" w:color="000000" w:fill="BFBFB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1,431</w:t>
            </w:r>
          </w:p>
        </w:tc>
        <w:tc>
          <w:tcPr>
            <w:tcW w:w="596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980727">
              <w:rPr>
                <w:rFonts w:cstheme="minorHAnsi"/>
                <w:b/>
                <w:bCs/>
                <w:sz w:val="16"/>
                <w:szCs w:val="16"/>
              </w:rPr>
              <w:t>4,434</w:t>
            </w:r>
          </w:p>
        </w:tc>
        <w:tc>
          <w:tcPr>
            <w:tcW w:w="654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shd w:val="clear" w:color="000000" w:fill="BFBFB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16B05" w:rsidRPr="00980727" w:rsidTr="00554F62">
        <w:trPr>
          <w:trHeight w:hRule="exact" w:val="269"/>
          <w:jc w:val="center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0727">
              <w:rPr>
                <w:rFonts w:cstheme="minorHAnsi"/>
                <w:sz w:val="16"/>
                <w:szCs w:val="16"/>
              </w:rPr>
              <w:t>გერმანია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980727">
              <w:rPr>
                <w:rFonts w:cstheme="minorHAnsi"/>
                <w:sz w:val="16"/>
                <w:szCs w:val="16"/>
              </w:rPr>
              <w:t>KfW</w:t>
            </w:r>
            <w:proofErr w:type="spellEnd"/>
            <w:r w:rsidRPr="0098072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D16B05" w:rsidRPr="00980727" w:rsidRDefault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1,431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5D5EFD">
            <w:pPr>
              <w:jc w:val="right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4,434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D16B05" w:rsidRPr="00980727" w:rsidRDefault="00D16B05" w:rsidP="00D16B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0727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D82ECE" w:rsidRPr="00D82ECE" w:rsidTr="00554F62">
        <w:trPr>
          <w:trHeight w:hRule="exact" w:val="278"/>
          <w:jc w:val="center"/>
        </w:trPr>
        <w:tc>
          <w:tcPr>
            <w:tcW w:w="4525" w:type="pct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82ECE" w:rsidRPr="001606AC" w:rsidRDefault="00D82ECE" w:rsidP="00D82ECE">
            <w:pPr>
              <w:jc w:val="center"/>
              <w:rPr>
                <w:rFonts w:cstheme="minorHAnsi"/>
                <w:color w:val="FF0000"/>
                <w:sz w:val="18"/>
                <w:szCs w:val="16"/>
              </w:rPr>
            </w:pPr>
            <w:proofErr w:type="spellStart"/>
            <w:r w:rsidRPr="001606AC">
              <w:rPr>
                <w:rFonts w:cstheme="minorHAnsi"/>
                <w:color w:val="FF0000"/>
                <w:sz w:val="18"/>
                <w:szCs w:val="16"/>
              </w:rPr>
              <w:t>საშუალო</w:t>
            </w:r>
            <w:proofErr w:type="spellEnd"/>
            <w:r w:rsidRPr="001606AC">
              <w:rPr>
                <w:rFonts w:cstheme="minorHAnsi"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1606AC">
              <w:rPr>
                <w:rFonts w:cstheme="minorHAnsi"/>
                <w:color w:val="FF0000"/>
                <w:sz w:val="18"/>
                <w:szCs w:val="16"/>
              </w:rPr>
              <w:t>შეწონილი</w:t>
            </w:r>
            <w:proofErr w:type="spellEnd"/>
            <w:r w:rsidRPr="001606AC">
              <w:rPr>
                <w:rFonts w:cstheme="minorHAnsi"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1606AC">
              <w:rPr>
                <w:rFonts w:cstheme="minorHAnsi"/>
                <w:color w:val="FF0000"/>
                <w:sz w:val="18"/>
                <w:szCs w:val="16"/>
              </w:rPr>
              <w:t>საპროცენტო</w:t>
            </w:r>
            <w:proofErr w:type="spellEnd"/>
            <w:r w:rsidRPr="001606AC">
              <w:rPr>
                <w:rFonts w:cstheme="minorHAnsi"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1606AC">
              <w:rPr>
                <w:rFonts w:cstheme="minorHAnsi"/>
                <w:color w:val="FF0000"/>
                <w:sz w:val="18"/>
                <w:szCs w:val="16"/>
              </w:rPr>
              <w:t>განაკვეთი</w:t>
            </w:r>
            <w:proofErr w:type="spellEnd"/>
          </w:p>
          <w:p w:rsidR="00D82ECE" w:rsidRPr="00D82ECE" w:rsidRDefault="00D82ECE" w:rsidP="00D82EC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:rsidR="00D82ECE" w:rsidRPr="00D82ECE" w:rsidRDefault="00D82ECE" w:rsidP="00D82ECE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475" w:type="pct"/>
            <w:shd w:val="clear" w:color="auto" w:fill="F2F2F2" w:themeFill="background1" w:themeFillShade="F2"/>
            <w:noWrap/>
            <w:vAlign w:val="center"/>
            <w:hideMark/>
          </w:tcPr>
          <w:p w:rsidR="00D82ECE" w:rsidRPr="00D82ECE" w:rsidRDefault="00D82ECE" w:rsidP="00D82ECE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82EC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0.95%</w:t>
            </w:r>
          </w:p>
        </w:tc>
      </w:tr>
    </w:tbl>
    <w:p w:rsidR="00C624FF" w:rsidRPr="00D82ECE" w:rsidRDefault="00C624FF" w:rsidP="00D82E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FF0000"/>
          <w:lang w:val="ka-GE"/>
        </w:rPr>
      </w:pPr>
    </w:p>
    <w:p w:rsidR="00797BDC" w:rsidRPr="00E97A98" w:rsidRDefault="00BE093C" w:rsidP="00914EEA">
      <w:pPr>
        <w:tabs>
          <w:tab w:val="left" w:pos="9072"/>
        </w:tabs>
        <w:ind w:firstLine="720"/>
        <w:jc w:val="both"/>
        <w:rPr>
          <w:rFonts w:ascii="Calibri" w:eastAsia="Times New Roman" w:hAnsi="Calibri" w:cs="Calibri"/>
          <w:bCs/>
          <w:iCs/>
          <w:color w:val="000000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760891">
        <w:rPr>
          <w:rFonts w:ascii="Sylfaen" w:hAnsi="Sylfaen" w:cs="Sylfaen"/>
          <w:szCs w:val="21"/>
          <w:shd w:val="clear" w:color="auto" w:fill="FFFFFF"/>
        </w:rPr>
        <w:t>21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6089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8A2103">
        <w:rPr>
          <w:rFonts w:ascii="Sylfaen" w:hAnsi="Sylfaen" w:cs="Sylfaen"/>
          <w:szCs w:val="21"/>
          <w:shd w:val="clear" w:color="auto" w:fill="FFFFFF"/>
          <w:lang w:val="ka-GE"/>
        </w:rPr>
        <w:t xml:space="preserve">2 </w:t>
      </w:r>
      <w:r w:rsidR="008A2103">
        <w:rPr>
          <w:rFonts w:ascii="Sylfaen" w:hAnsi="Sylfaen" w:cs="Sylfaen"/>
          <w:szCs w:val="21"/>
          <w:shd w:val="clear" w:color="auto" w:fill="FFFFFF"/>
        </w:rPr>
        <w:t xml:space="preserve">936 </w:t>
      </w:r>
      <w:r w:rsidR="008A2103">
        <w:rPr>
          <w:rFonts w:ascii="Sylfaen" w:eastAsia="Times New Roman" w:hAnsi="Sylfaen" w:cs="Calibri"/>
          <w:bCs/>
          <w:iCs/>
          <w:color w:val="000000"/>
        </w:rPr>
        <w:t>811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8A2103">
        <w:rPr>
          <w:rFonts w:ascii="Sylfaen" w:eastAsia="Times New Roman" w:hAnsi="Sylfaen" w:cs="Calibri"/>
          <w:bCs/>
          <w:iCs/>
          <w:color w:val="000000"/>
          <w:lang w:val="ka-GE"/>
        </w:rPr>
        <w:t>8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8A2103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8A2103">
        <w:rPr>
          <w:rFonts w:ascii="Sylfaen" w:hAnsi="Sylfaen" w:cs="Sylfaen"/>
          <w:szCs w:val="21"/>
          <w:shd w:val="clear" w:color="auto" w:fill="FFFFFF"/>
        </w:rPr>
        <w:t>653 147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A2103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A2103">
        <w:rPr>
          <w:rFonts w:ascii="Sylfaen" w:eastAsia="Times New Roman" w:hAnsi="Sylfaen" w:cs="Calibri"/>
          <w:bCs/>
          <w:iCs/>
          <w:color w:val="000000"/>
        </w:rPr>
        <w:t>283 663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1779D6">
        <w:rPr>
          <w:rFonts w:ascii="Sylfaen" w:eastAsia="Times New Roman" w:hAnsi="Sylfaen" w:cs="Calibri"/>
          <w:bCs/>
          <w:iCs/>
          <w:color w:val="000000"/>
          <w:lang w:val="ka-GE"/>
        </w:rPr>
        <w:t>9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</w:t>
      </w:r>
      <w:r w:rsidR="00285C33">
        <w:rPr>
          <w:rFonts w:ascii="Sylfaen" w:hAnsi="Sylfaen"/>
          <w:b/>
          <w:lang w:val="ka-GE"/>
        </w:rPr>
        <w:t>1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8A2103">
        <w:rPr>
          <w:rFonts w:ascii="Sylfaen" w:hAnsi="Sylfaen"/>
          <w:b/>
          <w:lang w:val="ka-GE"/>
        </w:rPr>
        <w:t xml:space="preserve">31 დეკემბრის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:rsidR="00086670" w:rsidRDefault="009C0B59" w:rsidP="007A54D3">
      <w:pPr>
        <w:tabs>
          <w:tab w:val="left" w:pos="0"/>
        </w:tabs>
        <w:spacing w:after="0" w:line="240" w:lineRule="auto"/>
        <w:ind w:right="427" w:firstLine="720"/>
        <w:jc w:val="right"/>
        <w:rPr>
          <w:rFonts w:ascii="Sylfaen" w:hAnsi="Sylfaen"/>
          <w:b/>
          <w:sz w:val="12"/>
          <w:szCs w:val="12"/>
          <w:lang w:val="ka-GE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="00023C53"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95"/>
        <w:gridCol w:w="2731"/>
        <w:gridCol w:w="2213"/>
        <w:gridCol w:w="2591"/>
      </w:tblGrid>
      <w:tr w:rsidR="00980727" w:rsidRPr="00F13E44" w:rsidTr="007A54D3">
        <w:trPr>
          <w:trHeight w:hRule="exact" w:val="421"/>
          <w:tblHeader/>
          <w:jc w:val="center"/>
        </w:trPr>
        <w:tc>
          <w:tcPr>
            <w:tcW w:w="1353" w:type="pct"/>
            <w:shd w:val="clear" w:color="auto" w:fill="auto"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ვალების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4 180,5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4 751,6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2 831,1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3 677,9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24 996,0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5 214,3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30 210,3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83 626,6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26 615,3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110 241,9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7 492,7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1 080,8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8 573,5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5 666,3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492,6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6 158,8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4 157,8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4 657,0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3 371,7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3 743,9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13 415,0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6 368,6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19 783,6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ნიდერლანდები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850,7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897,2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37 521,6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4 893,0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42 414,7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7 861,2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8 918,8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უკრაინა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150,5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უზბეკეთი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164,5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57 961,3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11 639,6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69 600,9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1 288,3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IDA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239 303,0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33 900,7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273 203,7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IBRD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42 480,5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38 625,1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81 105,6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IFAD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5 664,6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1 379,6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7 044,2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EBRD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62 739,2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9 639,0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72 378,2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EIB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37 194,1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7 766,0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44 960,1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302 738,2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39 929,3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342 667,5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IMF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8 725,5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8 725,5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2 040,2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2 040,2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CEB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26,5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1 558,4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1 558,4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NEFCO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799,7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951,6</w:t>
            </w:r>
          </w:p>
        </w:tc>
      </w:tr>
      <w:tr w:rsidR="00980727" w:rsidRPr="00F13E44" w:rsidTr="007A54D3">
        <w:trPr>
          <w:trHeight w:hRule="exact" w:val="259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1 706 700,0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80 216,8</w:t>
            </w:r>
          </w:p>
        </w:tc>
        <w:tc>
          <w:tcPr>
            <w:tcW w:w="1254" w:type="pct"/>
            <w:shd w:val="clear" w:color="auto" w:fill="auto"/>
            <w:noWrap/>
            <w:vAlign w:val="bottom"/>
            <w:hideMark/>
          </w:tcPr>
          <w:p w:rsidR="00DD5419" w:rsidRPr="00F13E44" w:rsidRDefault="00DD5419" w:rsidP="00DD5419">
            <w:pPr>
              <w:jc w:val="right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iCs/>
                <w:color w:val="000000"/>
                <w:sz w:val="20"/>
                <w:szCs w:val="20"/>
              </w:rPr>
              <w:t>1 786 916,8</w:t>
            </w:r>
          </w:p>
        </w:tc>
      </w:tr>
      <w:tr w:rsidR="00980727" w:rsidRPr="00F13E44" w:rsidTr="007A54D3">
        <w:trPr>
          <w:trHeight w:hRule="exact" w:val="304"/>
          <w:jc w:val="center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DD5419" w:rsidRPr="00F13E44" w:rsidRDefault="00DD5419" w:rsidP="00DD5419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322" w:type="pct"/>
            <w:shd w:val="clear" w:color="auto" w:fill="auto"/>
            <w:noWrap/>
            <w:vAlign w:val="center"/>
            <w:hideMark/>
          </w:tcPr>
          <w:p w:rsidR="00DD5419" w:rsidRPr="00F13E44" w:rsidRDefault="00F13E44" w:rsidP="000F27A7">
            <w:pPr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5419" w:rsidRPr="00F13E44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2 653 147,9</w:t>
            </w:r>
          </w:p>
        </w:tc>
        <w:tc>
          <w:tcPr>
            <w:tcW w:w="1071" w:type="pct"/>
            <w:shd w:val="clear" w:color="auto" w:fill="auto"/>
            <w:noWrap/>
            <w:vAlign w:val="center"/>
            <w:hideMark/>
          </w:tcPr>
          <w:p w:rsidR="00DD5419" w:rsidRPr="00F13E44" w:rsidRDefault="00F13E44" w:rsidP="000F27A7">
            <w:pPr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5419" w:rsidRPr="00F13E44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283 663,9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:rsidR="00DD5419" w:rsidRPr="00F13E44" w:rsidRDefault="00F13E44" w:rsidP="000F27A7">
            <w:pPr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F13E44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5419" w:rsidRPr="00F13E44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2 936 811,8</w:t>
            </w:r>
          </w:p>
        </w:tc>
      </w:tr>
    </w:tbl>
    <w:p w:rsidR="008A2103" w:rsidRDefault="008A2103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8A2103" w:rsidRDefault="008A2103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396821" w:rsidRDefault="00F274F7" w:rsidP="00F274F7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8A2103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A2103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10.0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.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.2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232D4" w:rsidRDefault="00396821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shd w:val="clear" w:color="auto" w:fill="FFFFFF"/>
        </w:rPr>
        <w:t>1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350F0">
        <w:rPr>
          <w:rFonts w:ascii="Sylfaen" w:hAnsi="Sylfaen" w:cs="Sylfaen"/>
          <w:shd w:val="clear" w:color="auto" w:fill="FFFFFF"/>
          <w:lang w:val="ka-GE"/>
        </w:rPr>
        <w:t>5 845.2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</w:t>
      </w:r>
      <w:r w:rsidRPr="004F38F8">
        <w:rPr>
          <w:rFonts w:ascii="Sylfaen" w:hAnsi="Sylfaen" w:cs="Sylfaen"/>
          <w:lang w:val="ka-GE"/>
        </w:rPr>
        <w:t xml:space="preserve">- </w:t>
      </w:r>
      <w:r w:rsidR="00F274F7" w:rsidRPr="004F38F8">
        <w:rPr>
          <w:rFonts w:ascii="Sylfaen" w:hAnsi="Sylfaen" w:cs="Sylfaen"/>
          <w:lang w:val="ka-GE"/>
        </w:rPr>
        <w:t>5</w:t>
      </w:r>
      <w:r w:rsidR="00EB315F" w:rsidRPr="004F38F8">
        <w:rPr>
          <w:rFonts w:ascii="Sylfaen" w:hAnsi="Sylfaen" w:cs="Sylfaen"/>
          <w:lang w:val="ka-GE"/>
        </w:rPr>
        <w:t xml:space="preserve"> </w:t>
      </w:r>
      <w:r w:rsidR="005F35F5" w:rsidRPr="004F38F8">
        <w:rPr>
          <w:rFonts w:ascii="Sylfaen" w:hAnsi="Sylfaen" w:cs="Sylfaen"/>
        </w:rPr>
        <w:t>791</w:t>
      </w:r>
      <w:r w:rsidR="00993049" w:rsidRPr="004F38F8">
        <w:rPr>
          <w:rFonts w:ascii="Sylfaen" w:hAnsi="Sylfaen" w:cs="Sylfaen"/>
          <w:lang w:val="ka-GE"/>
        </w:rPr>
        <w:t>.</w:t>
      </w:r>
      <w:r w:rsidR="005F35F5" w:rsidRPr="004F38F8">
        <w:rPr>
          <w:rFonts w:ascii="Sylfaen" w:hAnsi="Sylfaen" w:cs="Sylfaen"/>
        </w:rPr>
        <w:t>5</w:t>
      </w:r>
      <w:r w:rsidRPr="004F38F8">
        <w:rPr>
          <w:rFonts w:ascii="Sylfaen" w:hAnsi="Sylfaen" w:cs="Sylfaen"/>
          <w:lang w:val="ka-GE"/>
        </w:rPr>
        <w:t xml:space="preserve"> მლნ</w:t>
      </w:r>
      <w:r w:rsidRPr="008A7B7D">
        <w:rPr>
          <w:rFonts w:ascii="Sylfaen" w:hAnsi="Sylfaen" w:cs="Sylfaen"/>
          <w:lang w:val="ka-GE"/>
        </w:rPr>
        <w:t xml:space="preserve"> ლარი და </w:t>
      </w:r>
      <w:r w:rsidRPr="008A7B7D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EB315F">
        <w:rPr>
          <w:rFonts w:ascii="Sylfaen" w:hAnsi="Sylfaen"/>
          <w:szCs w:val="21"/>
          <w:lang w:val="ka-GE"/>
        </w:rPr>
        <w:t>46.4</w:t>
      </w:r>
      <w:r w:rsidRPr="008A7B7D">
        <w:rPr>
          <w:rFonts w:ascii="Sylfaen" w:hAnsi="Sylfaen"/>
          <w:szCs w:val="21"/>
          <w:lang w:val="ka-GE"/>
        </w:rPr>
        <w:t xml:space="preserve"> მლნ ლარი</w:t>
      </w:r>
      <w:r w:rsidRPr="008A7B7D">
        <w:rPr>
          <w:rFonts w:ascii="Sylfaen" w:hAnsi="Sylfaen" w:cs="Sylfaen"/>
          <w:lang w:val="ka-GE"/>
        </w:rPr>
        <w:t>), აქედან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EB315F">
        <w:rPr>
          <w:rFonts w:ascii="Sylfaen" w:hAnsi="Sylfaen" w:cs="Sylfaen"/>
          <w:shd w:val="clear" w:color="auto" w:fill="FFFFFF"/>
          <w:lang w:val="ka-GE"/>
        </w:rPr>
        <w:t>5 486</w:t>
      </w:r>
      <w:r w:rsidR="00993049">
        <w:rPr>
          <w:rFonts w:ascii="Sylfaen" w:hAnsi="Sylfaen" w:cs="Sylfaen"/>
          <w:shd w:val="clear" w:color="auto" w:fill="FFFFFF"/>
          <w:lang w:val="ka-GE"/>
        </w:rPr>
        <w:t>.</w:t>
      </w:r>
      <w:r w:rsidR="00EB315F">
        <w:rPr>
          <w:rFonts w:ascii="Sylfaen" w:hAnsi="Sylfaen" w:cs="Sylfaen"/>
          <w:shd w:val="clear" w:color="auto" w:fill="FFFFFF"/>
          <w:lang w:val="ka-GE"/>
        </w:rPr>
        <w:t>0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EB315F">
        <w:rPr>
          <w:rFonts w:ascii="Sylfaen" w:hAnsi="Sylfaen" w:cs="Sylfaen"/>
          <w:shd w:val="clear" w:color="auto" w:fill="FFFFFF"/>
          <w:lang w:val="ka-GE"/>
        </w:rPr>
        <w:t>312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EB315F">
        <w:rPr>
          <w:rFonts w:ascii="Sylfaen" w:hAnsi="Sylfaen"/>
          <w:szCs w:val="21"/>
          <w:shd w:val="clear" w:color="auto" w:fill="FFFFFF"/>
          <w:lang w:val="ka-GE"/>
        </w:rPr>
        <w:t>46.4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B232D4" w:rsidRDefault="00B232D4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EB315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დეკემბრის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2672E" w:rsidRDefault="00396821" w:rsidP="00F13E44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B79CB" w:rsidRDefault="00396821" w:rsidP="00F13E44">
      <w:pPr>
        <w:tabs>
          <w:tab w:val="left" w:pos="0"/>
        </w:tabs>
        <w:spacing w:after="0" w:line="240" w:lineRule="auto"/>
        <w:ind w:left="288" w:right="144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Style w:val="TableGrid"/>
        <w:tblW w:w="495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3079"/>
      </w:tblGrid>
      <w:tr w:rsidR="0077274B" w:rsidRPr="00B344D1" w:rsidTr="00B61AF7">
        <w:trPr>
          <w:trHeight w:val="343"/>
          <w:jc w:val="center"/>
        </w:trPr>
        <w:tc>
          <w:tcPr>
            <w:tcW w:w="3499" w:type="pct"/>
            <w:vAlign w:val="center"/>
            <w:hideMark/>
          </w:tcPr>
          <w:p w:rsidR="0077274B" w:rsidRPr="00B344D1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01" w:type="pct"/>
            <w:hideMark/>
          </w:tcPr>
          <w:p w:rsidR="0077274B" w:rsidRPr="00B344D1" w:rsidRDefault="00F274F7" w:rsidP="00EB315F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B344D1">
              <w:rPr>
                <w:rFonts w:cstheme="minorHAnsi"/>
                <w:b/>
                <w:sz w:val="20"/>
                <w:szCs w:val="20"/>
              </w:rPr>
              <w:t>5</w:t>
            </w:r>
            <w:r w:rsidR="005134D5" w:rsidRPr="00B344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315F" w:rsidRPr="00B344D1">
              <w:rPr>
                <w:rFonts w:cstheme="minorHAnsi"/>
                <w:b/>
                <w:sz w:val="20"/>
                <w:szCs w:val="20"/>
                <w:lang w:val="ka-GE"/>
              </w:rPr>
              <w:t>837</w:t>
            </w:r>
            <w:r w:rsidR="005134D5" w:rsidRPr="00B344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315F" w:rsidRPr="00B344D1">
              <w:rPr>
                <w:rFonts w:cstheme="minorHAnsi"/>
                <w:b/>
                <w:sz w:val="20"/>
                <w:szCs w:val="20"/>
                <w:lang w:val="ka-GE"/>
              </w:rPr>
              <w:t>901</w:t>
            </w:r>
            <w:r w:rsidR="0077274B" w:rsidRPr="00B344D1">
              <w:rPr>
                <w:rFonts w:cstheme="minorHAnsi"/>
                <w:b/>
                <w:sz w:val="20"/>
                <w:szCs w:val="20"/>
              </w:rPr>
              <w:t>,</w:t>
            </w:r>
            <w:r w:rsidR="00EB315F" w:rsidRPr="00B344D1">
              <w:rPr>
                <w:rFonts w:cstheme="minorHAnsi"/>
                <w:b/>
                <w:sz w:val="20"/>
                <w:szCs w:val="20"/>
                <w:lang w:val="ka-GE"/>
              </w:rPr>
              <w:t>1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vAlign w:val="center"/>
            <w:hideMark/>
          </w:tcPr>
          <w:p w:rsidR="0077274B" w:rsidRPr="00B344D1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501" w:type="pct"/>
            <w:hideMark/>
          </w:tcPr>
          <w:p w:rsidR="0077274B" w:rsidRPr="00B344D1" w:rsidRDefault="0077274B" w:rsidP="00EB315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44D1">
              <w:rPr>
                <w:rFonts w:cstheme="minorHAnsi"/>
                <w:b/>
                <w:sz w:val="20"/>
                <w:szCs w:val="20"/>
              </w:rPr>
              <w:t xml:space="preserve">5 </w:t>
            </w:r>
            <w:r w:rsidR="00EB315F" w:rsidRPr="00B344D1">
              <w:rPr>
                <w:rFonts w:cstheme="minorHAnsi"/>
                <w:b/>
                <w:sz w:val="20"/>
                <w:szCs w:val="20"/>
                <w:lang w:val="ka-GE"/>
              </w:rPr>
              <w:t>478</w:t>
            </w:r>
            <w:r w:rsidRPr="00B344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315F" w:rsidRPr="00B344D1">
              <w:rPr>
                <w:rFonts w:cstheme="minorHAnsi"/>
                <w:b/>
                <w:sz w:val="20"/>
                <w:szCs w:val="20"/>
                <w:lang w:val="ka-GE"/>
              </w:rPr>
              <w:t>657</w:t>
            </w:r>
            <w:r w:rsidR="001779D6" w:rsidRPr="00B344D1">
              <w:rPr>
                <w:rFonts w:cstheme="minorHAnsi"/>
                <w:b/>
                <w:sz w:val="20"/>
                <w:szCs w:val="20"/>
              </w:rPr>
              <w:t>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noWrap/>
            <w:vAlign w:val="center"/>
          </w:tcPr>
          <w:p w:rsidR="0077274B" w:rsidRPr="00B344D1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6</w:t>
            </w:r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თვის</w:t>
            </w:r>
            <w:proofErr w:type="spellEnd"/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ვადიანობის</w:t>
            </w:r>
            <w:proofErr w:type="spellEnd"/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სახაზინო</w:t>
            </w:r>
            <w:proofErr w:type="spellEnd"/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501" w:type="pct"/>
          </w:tcPr>
          <w:p w:rsidR="0077274B" w:rsidRPr="00B344D1" w:rsidRDefault="00EB315F" w:rsidP="0077274B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</w:rPr>
              <w:t>10</w:t>
            </w:r>
            <w:r w:rsidR="001779D6" w:rsidRPr="00B344D1">
              <w:rPr>
                <w:rFonts w:cstheme="minorHAnsi"/>
                <w:sz w:val="20"/>
                <w:szCs w:val="20"/>
              </w:rPr>
              <w:t>5</w:t>
            </w:r>
            <w:r w:rsidR="005134D5" w:rsidRPr="00B344D1">
              <w:rPr>
                <w:rFonts w:cstheme="minorHAnsi"/>
                <w:sz w:val="20"/>
                <w:szCs w:val="20"/>
              </w:rPr>
              <w:t xml:space="preserve"> </w:t>
            </w:r>
            <w:r w:rsidR="0077274B" w:rsidRPr="00B344D1">
              <w:rPr>
                <w:rFonts w:cstheme="minorHAnsi"/>
                <w:sz w:val="20"/>
                <w:szCs w:val="20"/>
              </w:rPr>
              <w:t>000,0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noWrap/>
            <w:vAlign w:val="center"/>
            <w:hideMark/>
          </w:tcPr>
          <w:p w:rsidR="0077274B" w:rsidRPr="00B344D1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501" w:type="pct"/>
            <w:hideMark/>
          </w:tcPr>
          <w:p w:rsidR="0077274B" w:rsidRPr="00B344D1" w:rsidRDefault="00EB315F" w:rsidP="005134D5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  <w:lang w:val="ka-GE"/>
              </w:rPr>
              <w:t>195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noWrap/>
            <w:vAlign w:val="center"/>
            <w:hideMark/>
          </w:tcPr>
          <w:p w:rsidR="0077274B" w:rsidRPr="00B344D1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501" w:type="pct"/>
            <w:hideMark/>
          </w:tcPr>
          <w:p w:rsidR="0077274B" w:rsidRPr="00B344D1" w:rsidRDefault="00EB315F" w:rsidP="003D7F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  <w:lang w:val="ka-GE"/>
              </w:rPr>
              <w:t>1 130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noWrap/>
            <w:vAlign w:val="center"/>
            <w:hideMark/>
          </w:tcPr>
          <w:p w:rsidR="0077274B" w:rsidRPr="00B344D1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501" w:type="pct"/>
            <w:hideMark/>
          </w:tcPr>
          <w:p w:rsidR="0077274B" w:rsidRPr="00B344D1" w:rsidRDefault="00202DDD" w:rsidP="007F3E85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</w:rPr>
              <w:t>2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</w:t>
            </w:r>
            <w:r w:rsidR="007F3E85" w:rsidRPr="00B344D1">
              <w:rPr>
                <w:rFonts w:cstheme="minorHAnsi"/>
                <w:sz w:val="20"/>
                <w:szCs w:val="20"/>
                <w:lang w:val="ka-GE"/>
              </w:rPr>
              <w:t>718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</w:t>
            </w:r>
            <w:r w:rsidR="007F3E85" w:rsidRPr="00B344D1">
              <w:rPr>
                <w:rFonts w:cstheme="minorHAnsi"/>
                <w:sz w:val="20"/>
                <w:szCs w:val="20"/>
                <w:lang w:val="ka-GE"/>
              </w:rPr>
              <w:t>089</w:t>
            </w:r>
            <w:r w:rsidR="0077274B" w:rsidRPr="00B344D1">
              <w:rPr>
                <w:rFonts w:cstheme="minorHAnsi"/>
                <w:sz w:val="20"/>
                <w:szCs w:val="20"/>
              </w:rPr>
              <w:t>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noWrap/>
            <w:vAlign w:val="center"/>
            <w:hideMark/>
          </w:tcPr>
          <w:p w:rsidR="0077274B" w:rsidRPr="00B344D1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501" w:type="pct"/>
            <w:hideMark/>
          </w:tcPr>
          <w:p w:rsidR="0077274B" w:rsidRPr="00B344D1" w:rsidRDefault="0077274B" w:rsidP="007F3E85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</w:rPr>
              <w:t xml:space="preserve">1 </w:t>
            </w:r>
            <w:r w:rsidR="007F3E85" w:rsidRPr="00B344D1">
              <w:rPr>
                <w:rFonts w:cstheme="minorHAnsi"/>
                <w:sz w:val="20"/>
                <w:szCs w:val="20"/>
                <w:lang w:val="ka-GE"/>
              </w:rPr>
              <w:t>330</w:t>
            </w:r>
            <w:r w:rsidRPr="00B344D1">
              <w:rPr>
                <w:rFonts w:cstheme="minorHAnsi"/>
                <w:sz w:val="20"/>
                <w:szCs w:val="20"/>
              </w:rPr>
              <w:t xml:space="preserve"> </w:t>
            </w:r>
            <w:r w:rsidR="003D7FE1" w:rsidRPr="00B344D1">
              <w:rPr>
                <w:rFonts w:cstheme="minorHAnsi"/>
                <w:sz w:val="20"/>
                <w:szCs w:val="20"/>
              </w:rPr>
              <w:t>56</w:t>
            </w:r>
            <w:r w:rsidRPr="00B344D1">
              <w:rPr>
                <w:rFonts w:cstheme="minorHAnsi"/>
                <w:sz w:val="20"/>
                <w:szCs w:val="20"/>
              </w:rPr>
              <w:t>8,0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vAlign w:val="center"/>
            <w:hideMark/>
          </w:tcPr>
          <w:p w:rsidR="0077274B" w:rsidRPr="00B344D1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501" w:type="pct"/>
          </w:tcPr>
          <w:p w:rsidR="0077274B" w:rsidRPr="00B344D1" w:rsidRDefault="005134D5" w:rsidP="007F3E8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44D1">
              <w:rPr>
                <w:rFonts w:cstheme="minorHAnsi"/>
                <w:b/>
                <w:sz w:val="20"/>
                <w:szCs w:val="20"/>
              </w:rPr>
              <w:t>3</w:t>
            </w:r>
            <w:r w:rsidR="007F3E85" w:rsidRPr="00B344D1">
              <w:rPr>
                <w:rFonts w:cstheme="minorHAnsi"/>
                <w:b/>
                <w:sz w:val="20"/>
                <w:szCs w:val="20"/>
                <w:lang w:val="ka-GE"/>
              </w:rPr>
              <w:t>1</w:t>
            </w:r>
            <w:r w:rsidR="001779D6" w:rsidRPr="00B344D1">
              <w:rPr>
                <w:rFonts w:cstheme="minorHAnsi"/>
                <w:b/>
                <w:sz w:val="20"/>
                <w:szCs w:val="20"/>
              </w:rPr>
              <w:t>2</w:t>
            </w:r>
            <w:r w:rsidR="0077274B" w:rsidRPr="00B344D1">
              <w:rPr>
                <w:rFonts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vAlign w:val="center"/>
            <w:hideMark/>
          </w:tcPr>
          <w:p w:rsidR="0077274B" w:rsidRPr="00B344D1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501" w:type="pct"/>
            <w:hideMark/>
          </w:tcPr>
          <w:p w:rsidR="0077274B" w:rsidRPr="00B344D1" w:rsidRDefault="00202DDD" w:rsidP="0077274B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</w:rPr>
              <w:t>160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846,0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vAlign w:val="center"/>
            <w:hideMark/>
          </w:tcPr>
          <w:p w:rsidR="0077274B" w:rsidRPr="00B344D1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501" w:type="pct"/>
            <w:hideMark/>
          </w:tcPr>
          <w:p w:rsidR="0077274B" w:rsidRPr="00B344D1" w:rsidRDefault="007F3E85" w:rsidP="003D7F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  <w:lang w:val="ka-GE"/>
              </w:rPr>
              <w:t>152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344D1" w:rsidTr="00B61AF7">
        <w:trPr>
          <w:trHeight w:val="288"/>
          <w:jc w:val="center"/>
        </w:trPr>
        <w:tc>
          <w:tcPr>
            <w:tcW w:w="3499" w:type="pct"/>
            <w:vAlign w:val="center"/>
          </w:tcPr>
          <w:p w:rsidR="0077274B" w:rsidRPr="00B344D1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ნაშ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501" w:type="pct"/>
          </w:tcPr>
          <w:p w:rsidR="0077274B" w:rsidRPr="00B344D1" w:rsidRDefault="007F3E85" w:rsidP="007F3E85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B344D1">
              <w:rPr>
                <w:rFonts w:cstheme="minorHAnsi"/>
                <w:b/>
                <w:sz w:val="20"/>
                <w:szCs w:val="20"/>
                <w:lang w:val="ka-GE"/>
              </w:rPr>
              <w:t>46</w:t>
            </w:r>
            <w:r w:rsidR="0077274B" w:rsidRPr="00B344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344D1">
              <w:rPr>
                <w:rFonts w:cstheme="minorHAnsi"/>
                <w:b/>
                <w:sz w:val="20"/>
                <w:szCs w:val="20"/>
                <w:lang w:val="ka-GE"/>
              </w:rPr>
              <w:t>398</w:t>
            </w:r>
            <w:r w:rsidR="0077274B" w:rsidRPr="00B344D1">
              <w:rPr>
                <w:rFonts w:cstheme="minorHAnsi"/>
                <w:b/>
                <w:sz w:val="20"/>
                <w:szCs w:val="20"/>
              </w:rPr>
              <w:t>,</w:t>
            </w:r>
            <w:r w:rsidRPr="00B344D1">
              <w:rPr>
                <w:rFonts w:cstheme="minorHAnsi"/>
                <w:b/>
                <w:sz w:val="20"/>
                <w:szCs w:val="20"/>
                <w:lang w:val="ka-GE"/>
              </w:rPr>
              <w:t>1</w:t>
            </w:r>
          </w:p>
        </w:tc>
      </w:tr>
    </w:tbl>
    <w:p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396821" w:rsidRPr="0077274B" w:rsidRDefault="00B4541C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lastRenderedPageBreak/>
        <w:t>202</w:t>
      </w:r>
      <w:r w:rsidR="00202DDD">
        <w:rPr>
          <w:rFonts w:ascii="Sylfaen" w:hAnsi="Sylfaen" w:cs="Sylfaen"/>
          <w:lang w:val="ka-GE"/>
        </w:rPr>
        <w:t>1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7F3E85">
        <w:rPr>
          <w:rFonts w:ascii="Sylfaen" w:hAnsi="Sylfaen" w:cs="Sylfaen"/>
          <w:szCs w:val="18"/>
          <w:shd w:val="clear" w:color="auto" w:fill="FFFFFF"/>
          <w:lang w:val="ka-GE"/>
        </w:rPr>
        <w:t xml:space="preserve">31 დეკემბრის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7F3E85">
        <w:rPr>
          <w:rFonts w:ascii="Sylfaen" w:hAnsi="Sylfaen" w:cs="Sylfaen"/>
          <w:lang w:val="ka-GE"/>
        </w:rPr>
        <w:t>1 332 217</w:t>
      </w:r>
      <w:r w:rsidR="005134D5">
        <w:rPr>
          <w:rFonts w:ascii="Sylfaen" w:hAnsi="Sylfaen" w:cs="Sylfaen"/>
          <w:lang w:val="ka-GE"/>
        </w:rPr>
        <w:t>.</w:t>
      </w:r>
      <w:r w:rsidR="007F3E85">
        <w:rPr>
          <w:rFonts w:ascii="Sylfaen" w:hAnsi="Sylfaen" w:cs="Sylfaen"/>
          <w:lang w:val="ka-GE"/>
        </w:rPr>
        <w:t>3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7F3E85">
        <w:rPr>
          <w:rFonts w:ascii="Sylfaen" w:hAnsi="Sylfaen" w:cs="Sylfaen"/>
          <w:lang w:val="ka-GE"/>
        </w:rPr>
        <w:t>1 638 713</w:t>
      </w:r>
      <w:r w:rsidR="005134D5">
        <w:rPr>
          <w:rFonts w:ascii="Sylfaen" w:hAnsi="Sylfaen" w:cs="Sylfaen"/>
          <w:lang w:val="ka-GE"/>
        </w:rPr>
        <w:t>.</w:t>
      </w:r>
      <w:r w:rsidR="007F3E85">
        <w:rPr>
          <w:rFonts w:ascii="Sylfaen" w:hAnsi="Sylfaen" w:cs="Sylfaen"/>
          <w:lang w:val="ka-GE"/>
        </w:rPr>
        <w:t>9</w:t>
      </w:r>
      <w:r w:rsidR="0077274B"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202DDD">
        <w:rPr>
          <w:rFonts w:ascii="Sylfaen" w:hAnsi="Sylfaen" w:cs="Sylfaen"/>
          <w:szCs w:val="21"/>
          <w:shd w:val="clear" w:color="auto" w:fill="FFFFFF"/>
          <w:lang w:val="ka-GE"/>
        </w:rPr>
        <w:t>კლება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7F3E85">
        <w:rPr>
          <w:rFonts w:ascii="Sylfaen" w:hAnsi="Sylfaen" w:cs="Sylfaen"/>
          <w:lang w:val="ka-GE"/>
        </w:rPr>
        <w:t>306 496</w:t>
      </w:r>
      <w:r w:rsidR="005134D5">
        <w:rPr>
          <w:rFonts w:ascii="Sylfaen" w:hAnsi="Sylfaen" w:cs="Sylfaen"/>
          <w:lang w:val="ka-GE"/>
        </w:rPr>
        <w:t>.</w:t>
      </w:r>
      <w:r w:rsidR="000F27A7">
        <w:rPr>
          <w:rFonts w:ascii="Sylfaen" w:hAnsi="Sylfaen" w:cs="Sylfaen"/>
        </w:rPr>
        <w:t>6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:rsidR="00F80CC1" w:rsidRPr="0077274B" w:rsidRDefault="00202DDD" w:rsidP="00F80CC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2021</w:t>
      </w:r>
      <w:r w:rsidR="00F80CC1" w:rsidRPr="0077274B">
        <w:rPr>
          <w:rFonts w:ascii="Sylfaen" w:hAnsi="Sylfaen" w:cs="Sylfaen"/>
          <w:lang w:val="ka-GE"/>
        </w:rPr>
        <w:t xml:space="preserve"> წლის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B93D5F">
        <w:rPr>
          <w:rFonts w:ascii="Sylfaen" w:hAnsi="Sylfaen" w:cs="Sylfaen"/>
          <w:lang w:val="ka-GE"/>
        </w:rPr>
        <w:t>546</w:t>
      </w:r>
      <w:r w:rsidR="007F3F5A">
        <w:rPr>
          <w:rFonts w:ascii="Sylfaen" w:hAnsi="Sylfaen" w:cs="Sylfaen"/>
        </w:rPr>
        <w:t xml:space="preserve"> 593</w:t>
      </w:r>
      <w:r w:rsidR="00501955">
        <w:rPr>
          <w:rFonts w:ascii="Sylfaen" w:hAnsi="Sylfaen" w:cs="Sylfaen"/>
          <w:lang w:val="ka-GE"/>
        </w:rPr>
        <w:t>.</w:t>
      </w:r>
      <w:r w:rsidR="007F3F5A">
        <w:rPr>
          <w:rFonts w:ascii="Sylfaen" w:hAnsi="Sylfaen" w:cs="Sylfaen"/>
        </w:rPr>
        <w:t>7</w:t>
      </w:r>
      <w:r w:rsidR="003D7FE1">
        <w:rPr>
          <w:rFonts w:ascii="Sylfaen" w:hAnsi="Sylfaen" w:cs="Sylfaen"/>
          <w:lang w:val="ka-GE"/>
        </w:rPr>
        <w:t xml:space="preserve"> </w:t>
      </w:r>
      <w:r w:rsidR="00F80CC1" w:rsidRPr="0077274B">
        <w:rPr>
          <w:rFonts w:ascii="Sylfaen" w:hAnsi="Sylfaen" w:cs="Sylfaen"/>
          <w:lang w:val="ka-GE"/>
        </w:rPr>
        <w:t>ათასი ლარი. მათ შორის:</w:t>
      </w:r>
    </w:p>
    <w:p w:rsidR="00501955" w:rsidRPr="008439FF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ind w:left="709" w:hanging="283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 w:rsidR="007F3F5A">
        <w:rPr>
          <w:rFonts w:ascii="Sylfaen" w:hAnsi="Sylfaen" w:cs="Sylfaen"/>
        </w:rPr>
        <w:t>40</w:t>
      </w:r>
      <w:r w:rsidR="007F3F5A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000.0</w:t>
      </w:r>
      <w:r w:rsidRPr="008439FF">
        <w:rPr>
          <w:rFonts w:ascii="Sylfaen" w:hAnsi="Sylfaen" w:cs="Sylfaen"/>
          <w:lang w:val="ka-GE"/>
        </w:rPr>
        <w:t xml:space="preserve"> ათასი ლარი;</w:t>
      </w:r>
    </w:p>
    <w:p w:rsidR="00501955" w:rsidRPr="00F269D7" w:rsidRDefault="00501955" w:rsidP="007F3F5A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</w:t>
      </w:r>
      <w:r w:rsidRPr="00F269D7">
        <w:rPr>
          <w:rFonts w:ascii="Sylfaen" w:hAnsi="Sylfaen" w:cs="Sylfaen"/>
          <w:lang w:val="ka-GE"/>
        </w:rPr>
        <w:t xml:space="preserve">მომსახურება - </w:t>
      </w:r>
      <w:r w:rsidR="007F3F5A" w:rsidRPr="007F3F5A">
        <w:rPr>
          <w:rFonts w:ascii="Sylfaen" w:hAnsi="Sylfaen" w:cs="Sylfaen"/>
          <w:lang w:val="ka-GE"/>
        </w:rPr>
        <w:t>13</w:t>
      </w:r>
      <w:r w:rsidR="007F3F5A">
        <w:rPr>
          <w:rFonts w:ascii="Sylfaen" w:hAnsi="Sylfaen" w:cs="Sylfaen"/>
        </w:rPr>
        <w:t> </w:t>
      </w:r>
      <w:r w:rsidR="007F3F5A">
        <w:rPr>
          <w:rFonts w:ascii="Sylfaen" w:hAnsi="Sylfaen" w:cs="Sylfaen"/>
          <w:lang w:val="ka-GE"/>
        </w:rPr>
        <w:t xml:space="preserve">663.1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>„ობლიგაცი</w:t>
      </w:r>
      <w:r>
        <w:rPr>
          <w:rFonts w:ascii="Sylfaen" w:hAnsi="Sylfaen" w:cs="Sylfaen"/>
          <w:lang w:val="ka-GE"/>
        </w:rPr>
        <w:t>ა</w:t>
      </w:r>
      <w:r w:rsidRPr="00F269D7">
        <w:rPr>
          <w:rFonts w:ascii="Sylfaen" w:hAnsi="Sylfaen" w:cs="Sylfaen"/>
          <w:lang w:val="ka-GE"/>
        </w:rPr>
        <w:t xml:space="preserve"> სებ-ისთვის“ მომსახურება - </w:t>
      </w:r>
      <w:r w:rsidR="007F3F5A">
        <w:rPr>
          <w:rFonts w:ascii="Sylfaen" w:hAnsi="Sylfaen" w:cs="Sylfaen"/>
        </w:rPr>
        <w:t>14 105</w:t>
      </w:r>
      <w:r>
        <w:rPr>
          <w:rFonts w:ascii="Sylfaen" w:hAnsi="Sylfaen" w:cs="Sylfaen"/>
          <w:lang w:val="ka-GE"/>
        </w:rPr>
        <w:t>.</w:t>
      </w:r>
      <w:r w:rsidR="007F3F5A">
        <w:rPr>
          <w:rFonts w:ascii="Sylfaen" w:hAnsi="Sylfaen" w:cs="Sylfaen"/>
          <w:lang w:val="ka-GE"/>
        </w:rPr>
        <w:t>5</w:t>
      </w:r>
      <w:r>
        <w:rPr>
          <w:rFonts w:ascii="Sylfaen" w:hAnsi="Sylfaen" w:cs="Sylfaen"/>
          <w:lang w:val="ka-GE"/>
        </w:rPr>
        <w:t xml:space="preserve">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 w:rsidR="007F3F5A">
        <w:rPr>
          <w:rFonts w:ascii="Sylfaen" w:hAnsi="Sylfaen" w:cs="Sylfaen"/>
        </w:rPr>
        <w:t>59 064</w:t>
      </w:r>
      <w:r>
        <w:rPr>
          <w:rFonts w:ascii="Sylfaen" w:hAnsi="Sylfaen" w:cs="Sylfaen"/>
          <w:lang w:val="ka-GE"/>
        </w:rPr>
        <w:t>.</w:t>
      </w:r>
      <w:r w:rsidR="007F3F5A">
        <w:rPr>
          <w:rFonts w:ascii="Sylfaen" w:hAnsi="Sylfaen" w:cs="Sylfaen"/>
        </w:rPr>
        <w:t>1</w:t>
      </w:r>
      <w:r>
        <w:rPr>
          <w:rFonts w:ascii="Sylfaen" w:hAnsi="Sylfaen" w:cs="Sylfaen"/>
          <w:lang w:val="ka-GE"/>
        </w:rPr>
        <w:t xml:space="preserve">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7F3F5A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ობლიგაციების მომსახურება  </w:t>
      </w:r>
      <w:r>
        <w:rPr>
          <w:rFonts w:ascii="Sylfaen" w:hAnsi="Sylfaen" w:cs="Sylfaen"/>
        </w:rPr>
        <w:t xml:space="preserve">- </w:t>
      </w:r>
      <w:r w:rsidR="007F3F5A">
        <w:rPr>
          <w:rFonts w:ascii="Sylfaen" w:hAnsi="Sylfaen" w:cs="Sylfaen"/>
          <w:lang w:val="ka-GE"/>
        </w:rPr>
        <w:t>419</w:t>
      </w:r>
      <w:r w:rsidR="007F3F5A">
        <w:rPr>
          <w:rFonts w:ascii="Sylfaen" w:hAnsi="Sylfaen" w:cs="Sylfaen"/>
        </w:rPr>
        <w:t xml:space="preserve"> </w:t>
      </w:r>
      <w:r w:rsidR="007F3F5A">
        <w:rPr>
          <w:rFonts w:ascii="Sylfaen" w:hAnsi="Sylfaen" w:cs="Sylfaen"/>
          <w:lang w:val="ka-GE"/>
        </w:rPr>
        <w:t>761.0</w:t>
      </w:r>
      <w:r w:rsidR="007F3F5A">
        <w:rPr>
          <w:rFonts w:ascii="Sylfaen" w:hAnsi="Sylfaen" w:cs="Sylfaen"/>
        </w:rPr>
        <w:t xml:space="preserve"> </w:t>
      </w:r>
      <w:r w:rsidRPr="00F269D7">
        <w:rPr>
          <w:rFonts w:ascii="Sylfaen" w:hAnsi="Sylfaen" w:cs="Sylfaen"/>
          <w:lang w:val="ka-GE"/>
        </w:rPr>
        <w:t>ათასი  ლარი.</w:t>
      </w: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7A54D3" w:rsidRDefault="007A54D3" w:rsidP="007A54D3">
      <w:pPr>
        <w:jc w:val="center"/>
        <w:rPr>
          <w:rFonts w:ascii="Sylfaen" w:hAnsi="Sylfaen" w:cs="Sylfaen"/>
          <w:lang w:val="ka-GE"/>
        </w:rPr>
      </w:pPr>
    </w:p>
    <w:p w:rsidR="00F6697A" w:rsidRPr="007A54D3" w:rsidRDefault="0075480C" w:rsidP="007A54D3">
      <w:pPr>
        <w:jc w:val="center"/>
        <w:rPr>
          <w:rFonts w:ascii="Sylfaen" w:hAnsi="Sylfaen" w:cs="Sylfaen"/>
          <w:lang w:val="ka-GE"/>
        </w:rPr>
      </w:pPr>
      <w:r w:rsidRPr="003430DD">
        <w:rPr>
          <w:rFonts w:ascii="Sylfaen" w:hAnsi="Sylfaen"/>
          <w:b/>
          <w:lang w:val="ka-GE"/>
        </w:rPr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</w:t>
      </w:r>
      <w:r w:rsidR="005D31E4">
        <w:rPr>
          <w:rFonts w:ascii="Sylfaen" w:hAnsi="Sylfaen"/>
          <w:b/>
          <w:lang w:val="ka-GE"/>
        </w:rPr>
        <w:t>1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7F3F5A">
        <w:rPr>
          <w:rFonts w:ascii="Sylfaen" w:hAnsi="Sylfaen"/>
          <w:b/>
        </w:rPr>
        <w:t>31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7F3F5A">
        <w:rPr>
          <w:rFonts w:ascii="Sylfaen" w:hAnsi="Sylfaen" w:cs="Sylfaen"/>
          <w:b/>
          <w:szCs w:val="21"/>
          <w:shd w:val="clear" w:color="auto" w:fill="FFFFFF"/>
          <w:lang w:val="ka-GE"/>
        </w:rPr>
        <w:t>დეკემბრის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:rsidR="005D31E4" w:rsidRPr="005D31E4" w:rsidRDefault="005D31E4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sz w:val="16"/>
          <w:szCs w:val="16"/>
        </w:rPr>
      </w:pPr>
    </w:p>
    <w:p w:rsidR="00FB7087" w:rsidRPr="00AD59D0" w:rsidRDefault="004150CD" w:rsidP="007A54D3">
      <w:pPr>
        <w:spacing w:after="0" w:line="240" w:lineRule="auto"/>
        <w:ind w:left="7200" w:firstLine="720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5"/>
        <w:gridCol w:w="2355"/>
      </w:tblGrid>
      <w:tr w:rsidR="00A60D8A" w:rsidRPr="00F13E44" w:rsidTr="007A54D3">
        <w:trPr>
          <w:trHeight w:val="689"/>
          <w:tblHeader/>
        </w:trPr>
        <w:tc>
          <w:tcPr>
            <w:tcW w:w="38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0" w:name="RANGE!C3:D42"/>
            <w:bookmarkStart w:id="1" w:name="_GoBack" w:colFirst="0" w:colLast="1"/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13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31.12.2021</w:t>
            </w:r>
            <w:r w:rsidRPr="00F13E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F13E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bookmarkEnd w:id="1"/>
      <w:tr w:rsidR="00A60D8A" w:rsidRPr="00F13E44" w:rsidTr="00554F62">
        <w:trPr>
          <w:trHeight w:val="57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23 966 690,1</w:t>
            </w:r>
          </w:p>
        </w:tc>
      </w:tr>
      <w:tr w:rsidR="00A60D8A" w:rsidRPr="00F13E44" w:rsidTr="00554F62">
        <w:trPr>
          <w:trHeight w:val="315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17 277 886,9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ბანკი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6 318 987,2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სოფლის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ფონდი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118 495,3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ფონდი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637 301,1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და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ბანკი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733 403,3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აზიის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ბანკი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5 847 253,7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ბანკი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2 527 839,6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466 032,0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აზიის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ბანკი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604 394,3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ბანკი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(CEB) 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16 441,6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7 738,8</w:t>
            </w:r>
          </w:p>
        </w:tc>
      </w:tr>
      <w:tr w:rsidR="00A60D8A" w:rsidRPr="00F13E44" w:rsidTr="00554F62">
        <w:trPr>
          <w:trHeight w:val="315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5 135 569,1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50 732,4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12 968,3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653,8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25 251,7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9 459,3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88 642,3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11 439,7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14 106,4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1 457,8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2 098 099,4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580 242,2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34 921,0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301,6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ამერიკა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40 731,3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2 166 562,0</w:t>
            </w:r>
          </w:p>
        </w:tc>
      </w:tr>
      <w:tr w:rsidR="00A60D8A" w:rsidRPr="00F13E44" w:rsidTr="00554F62">
        <w:trPr>
          <w:trHeight w:val="315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1 548 800,0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ევრობონდები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1 548 800,0</w:t>
            </w:r>
          </w:p>
        </w:tc>
      </w:tr>
      <w:tr w:rsidR="00A60D8A" w:rsidRPr="00F13E44" w:rsidTr="00554F62">
        <w:trPr>
          <w:trHeight w:val="315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სახელმწიფო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4 434,1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4 434,1</w:t>
            </w:r>
          </w:p>
        </w:tc>
      </w:tr>
      <w:tr w:rsidR="00A60D8A" w:rsidRPr="00F13E44" w:rsidTr="00554F62">
        <w:trPr>
          <w:trHeight w:val="315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5 845 198,0</w:t>
            </w:r>
          </w:p>
        </w:tc>
      </w:tr>
      <w:tr w:rsidR="00A60D8A" w:rsidRPr="00F13E44" w:rsidTr="00554F62">
        <w:trPr>
          <w:trHeight w:val="51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160 846,0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ვადის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ღია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ბაზრის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152 000,0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279 199,4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5 206 754,5</w:t>
            </w:r>
          </w:p>
        </w:tc>
      </w:tr>
      <w:tr w:rsidR="00A60D8A" w:rsidRPr="00F13E44" w:rsidTr="00554F62">
        <w:trPr>
          <w:trHeight w:val="30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სესხის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სახით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არსებულ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ვალი</w:t>
            </w:r>
            <w:proofErr w:type="spellEnd"/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color w:val="000000"/>
                <w:sz w:val="20"/>
                <w:szCs w:val="20"/>
              </w:rPr>
              <w:t>46 398,1</w:t>
            </w:r>
          </w:p>
        </w:tc>
      </w:tr>
      <w:tr w:rsidR="00A60D8A" w:rsidRPr="00F13E44" w:rsidTr="00554F62">
        <w:trPr>
          <w:trHeight w:val="570"/>
        </w:trPr>
        <w:tc>
          <w:tcPr>
            <w:tcW w:w="38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60D8A" w:rsidRPr="00F13E44" w:rsidRDefault="00A60D8A" w:rsidP="00A60D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13E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29 811 888,1</w:t>
            </w:r>
          </w:p>
        </w:tc>
      </w:tr>
    </w:tbl>
    <w:p w:rsidR="004A760F" w:rsidRDefault="004A760F" w:rsidP="002D2B26">
      <w:pPr>
        <w:spacing w:after="0" w:line="240" w:lineRule="auto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0340AB" w:rsidRPr="00AD6A17" w:rsidRDefault="00F27488" w:rsidP="002D2B26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br w:type="textWrapping" w:clear="all"/>
      </w:r>
      <w:proofErr w:type="spellStart"/>
      <w:proofErr w:type="gramStart"/>
      <w:r w:rsidR="000340AB" w:rsidRPr="003430DD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proofErr w:type="gramEnd"/>
      <w:r w:rsidR="000340AB" w:rsidRPr="003430DD">
        <w:rPr>
          <w:i/>
          <w:sz w:val="16"/>
          <w:szCs w:val="16"/>
        </w:rPr>
        <w:t xml:space="preserve">: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7B32F3">
      <w:footerReference w:type="default" r:id="rId11"/>
      <w:pgSz w:w="11907" w:h="16839" w:code="9"/>
      <w:pgMar w:top="426" w:right="837" w:bottom="568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C1" w:rsidRDefault="00BB1DC1" w:rsidP="00400BED">
      <w:pPr>
        <w:spacing w:after="0" w:line="240" w:lineRule="auto"/>
      </w:pPr>
      <w:r>
        <w:separator/>
      </w:r>
    </w:p>
  </w:endnote>
  <w:endnote w:type="continuationSeparator" w:id="0">
    <w:p w:rsidR="00BB1DC1" w:rsidRDefault="00BB1DC1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354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F62" w:rsidRDefault="00554F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4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4F62" w:rsidRDefault="0055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C1" w:rsidRDefault="00BB1DC1" w:rsidP="00400BED">
      <w:pPr>
        <w:spacing w:after="0" w:line="240" w:lineRule="auto"/>
      </w:pPr>
      <w:r>
        <w:separator/>
      </w:r>
    </w:p>
  </w:footnote>
  <w:footnote w:type="continuationSeparator" w:id="0">
    <w:p w:rsidR="00BB1DC1" w:rsidRDefault="00BB1DC1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760F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7406"/>
    <w:rsid w:val="005532C7"/>
    <w:rsid w:val="0055381D"/>
    <w:rsid w:val="00554F62"/>
    <w:rsid w:val="0055654D"/>
    <w:rsid w:val="00560452"/>
    <w:rsid w:val="0056160F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64DE"/>
    <w:rsid w:val="00860E2B"/>
    <w:rsid w:val="00861F1F"/>
    <w:rsid w:val="00862004"/>
    <w:rsid w:val="00863F99"/>
    <w:rsid w:val="00864429"/>
    <w:rsid w:val="00864A00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103"/>
    <w:rsid w:val="008A296A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EE7"/>
    <w:rsid w:val="00930DB7"/>
    <w:rsid w:val="009330E5"/>
    <w:rsid w:val="009335FA"/>
    <w:rsid w:val="00935F0A"/>
    <w:rsid w:val="009363B9"/>
    <w:rsid w:val="00941504"/>
    <w:rsid w:val="009453D8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EAA"/>
    <w:rsid w:val="00B30876"/>
    <w:rsid w:val="00B3130D"/>
    <w:rsid w:val="00B32432"/>
    <w:rsid w:val="00B33856"/>
    <w:rsid w:val="00B344D1"/>
    <w:rsid w:val="00B350F0"/>
    <w:rsid w:val="00B3761D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AF7"/>
    <w:rsid w:val="00B61F3B"/>
    <w:rsid w:val="00B64DB8"/>
    <w:rsid w:val="00B659A0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C7D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179A"/>
    <w:rsid w:val="00CC46C4"/>
    <w:rsid w:val="00CC61C6"/>
    <w:rsid w:val="00CC6C0E"/>
    <w:rsid w:val="00CC7FBE"/>
    <w:rsid w:val="00CD1557"/>
    <w:rsid w:val="00CD2440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B05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7907"/>
    <w:rsid w:val="00E079D4"/>
    <w:rsid w:val="00E11336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5BB0"/>
    <w:rsid w:val="00E3693C"/>
    <w:rsid w:val="00E36B7F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7A98"/>
    <w:rsid w:val="00EA2D25"/>
    <w:rsid w:val="00EA388F"/>
    <w:rsid w:val="00EA46B3"/>
    <w:rsid w:val="00EA65D7"/>
    <w:rsid w:val="00EB0470"/>
    <w:rsid w:val="00EB0EE9"/>
    <w:rsid w:val="00EB1B0E"/>
    <w:rsid w:val="00EB23CD"/>
    <w:rsid w:val="00EB263D"/>
    <w:rsid w:val="00EB2E2F"/>
    <w:rsid w:val="00EB315F"/>
    <w:rsid w:val="00EB4097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46D7"/>
    <w:rsid w:val="00EF6AB2"/>
    <w:rsid w:val="00F003A7"/>
    <w:rsid w:val="00F01A27"/>
    <w:rsid w:val="00F07891"/>
    <w:rsid w:val="00F07AE6"/>
    <w:rsid w:val="00F106FA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F01FD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20%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58%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51%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BE09-A19D-4D66-BDC5-F0E0D127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7</cp:revision>
  <cp:lastPrinted>2021-10-26T12:35:00Z</cp:lastPrinted>
  <dcterms:created xsi:type="dcterms:W3CDTF">2022-03-04T07:38:00Z</dcterms:created>
  <dcterms:modified xsi:type="dcterms:W3CDTF">2022-03-29T10:06:00Z</dcterms:modified>
</cp:coreProperties>
</file>